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7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20"/>
        <w:gridCol w:w="5529"/>
        <w:tblGridChange w:id="0">
          <w:tblGrid>
            <w:gridCol w:w="4820"/>
            <w:gridCol w:w="55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center" w:leader="none" w:pos="1418"/>
                <w:tab w:val="center" w:leader="none" w:pos="6804"/>
              </w:tabs>
              <w:ind w:right="-10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 CÔNG ĐOÀN GIÁO DỤC VIỆT NAM</w: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1418"/>
                <w:tab w:val="center" w:leader="none" w:pos="6804"/>
              </w:tabs>
              <w:ind w:right="-256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CÔNG ĐOÀN .............................................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1418"/>
                <w:tab w:val="center" w:leader="none" w:pos="6804"/>
              </w:tabs>
              <w:ind w:right="-256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40640</wp:posOffset>
                      </wp:positionV>
                      <wp:extent cx="139065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0675" y="378000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40640</wp:posOffset>
                      </wp:positionV>
                      <wp:extent cx="139065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06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1418"/>
                <w:tab w:val="center" w:leader="none" w:pos="6804"/>
              </w:tabs>
              <w:ind w:right="-256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Số:             /BC-................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center" w:leader="none" w:pos="1418"/>
                <w:tab w:val="center" w:leader="none" w:pos="6804"/>
              </w:tabs>
              <w:ind w:right="-256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 CỘNG HÒA XÃ HỘI CHỦ NGHĨA VIỆT NAM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1418"/>
                <w:tab w:val="center" w:leader="none" w:pos="6804"/>
              </w:tabs>
              <w:ind w:right="-256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1418"/>
                <w:tab w:val="center" w:leader="none" w:pos="6804"/>
              </w:tabs>
              <w:ind w:right="-256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857581</wp:posOffset>
                      </wp:positionH>
                      <wp:positionV relativeFrom="paragraph">
                        <wp:posOffset>6985</wp:posOffset>
                      </wp:positionV>
                      <wp:extent cx="18288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1600" y="378000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857581</wp:posOffset>
                      </wp:positionH>
                      <wp:positionV relativeFrom="paragraph">
                        <wp:posOffset>6985</wp:posOffset>
                      </wp:positionV>
                      <wp:extent cx="18288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1418"/>
                <w:tab w:val="center" w:leader="none" w:pos="6804"/>
              </w:tabs>
              <w:ind w:right="-256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highlight w:val="white"/>
                <w:rtl w:val="0"/>
              </w:rPr>
              <w:t xml:space="preserve">Hà Nội, ngày      tháng     năm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center" w:leader="none" w:pos="1418"/>
          <w:tab w:val="left" w:leader="none" w:pos="4253"/>
          <w:tab w:val="center" w:leader="none" w:pos="6804"/>
        </w:tabs>
        <w:ind w:left="-284" w:right="-256" w:firstLine="0"/>
        <w:rPr>
          <w:rFonts w:ascii="Times New Roman" w:cs="Times New Roman" w:eastAsia="Times New Roman" w:hAnsi="Times New Roman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64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BÁO CÁO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Tổng kết 15 năm thực hiện Nghị quyết 6a/NQ-TLĐ ngày 06/01/2011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của Ban Chấp hành Tổng Liên đoàn Lao động Việt Nam, khóa X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về “tiếp tục đổi mới nội dung, phương thức và nâng cao chất lượng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hoạt động của công đoàn cơ sở”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và Kết luận số 02/KL-BCH ngày 17/3/2021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của Ban Chấp hành Tổng Liên đoàn (khóa XII) về tiếp tục thực hiện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652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Nghị quyết 06a/NQ-TLĐ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Times New Roman" w:cs="Times New Roman" w:eastAsia="Times New Roman" w:hAnsi="Times New Roman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Phần thứ nhất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KẾT QUẢ TRIỂN KHAI THỰC HIỆN NGHỊ QUYẾT 6a/NQ-TLĐ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VÀ KẾT LUẬN 02/KL-BCH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0" w:line="32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I. ĐẶC ĐIỂM, TÌNH HÌNH CHUNG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1. Tình hình CBNGNLĐ, đoàn viên công đoàn giai đoạn 2011-2025</w:t>
      </w:r>
    </w:p>
    <w:p w:rsidR="00000000" w:rsidDel="00000000" w:rsidP="00000000" w:rsidRDefault="00000000" w:rsidRPr="00000000" w14:paraId="0000001B">
      <w:pPr>
        <w:tabs>
          <w:tab w:val="center" w:leader="none" w:pos="6767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- Đánh giá về tác động của tình hình thế giới, khu vực.</w:t>
      </w:r>
    </w:p>
    <w:p w:rsidR="00000000" w:rsidDel="00000000" w:rsidP="00000000" w:rsidRDefault="00000000" w:rsidRPr="00000000" w14:paraId="0000001C">
      <w:pPr>
        <w:tabs>
          <w:tab w:val="center" w:leader="none" w:pos="6767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- Đánh giá tình hình phát triển của đơn vị, doanh nghiệp.</w:t>
      </w:r>
    </w:p>
    <w:p w:rsidR="00000000" w:rsidDel="00000000" w:rsidP="00000000" w:rsidRDefault="00000000" w:rsidRPr="00000000" w14:paraId="0000001D">
      <w:pPr>
        <w:tabs>
          <w:tab w:val="center" w:leader="none" w:pos="6767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- Đánh giá về tác động của dịch bệnh, thiên tai, sắp xếp tổ chức bộ máy của cả hệ thống chính trị; tình hình việc làm; đời sống; quan hệ lao động tại đơn vị.</w:t>
      </w:r>
    </w:p>
    <w:p w:rsidR="00000000" w:rsidDel="00000000" w:rsidP="00000000" w:rsidRDefault="00000000" w:rsidRPr="00000000" w14:paraId="0000001E">
      <w:pPr>
        <w:tabs>
          <w:tab w:val="center" w:leader="none" w:pos="6767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color w:val="0033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- Đánh giá về số lượng, chất lượng của đoàn viên, người lao động</w:t>
      </w:r>
      <w:r w:rsidDel="00000000" w:rsidR="00000000" w:rsidRPr="00000000">
        <w:rPr>
          <w:rFonts w:ascii="Times New Roman" w:cs="Times New Roman" w:eastAsia="Times New Roman" w:hAnsi="Times New Roman"/>
          <w:color w:val="003300"/>
          <w:sz w:val="26"/>
          <w:szCs w:val="26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2. Thuận lợi, khó khăn trong triển khai Nghị quyết 6a/NQ-TLĐ và Kết luận 02/KL-BCH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- Thuận lợi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- Khó khăn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80" w:before="0" w:line="32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II. KẾT QUẢ THỰC HIỆN NGHỊ QUYẾT</w:t>
      </w:r>
    </w:p>
    <w:p w:rsidR="00000000" w:rsidDel="00000000" w:rsidP="00000000" w:rsidRDefault="00000000" w:rsidRPr="00000000" w14:paraId="00000023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1. Công tác chỉ đạo, triển khai thực hiện Nghị quyết 6a/NQ-TLĐ và Kết luận 02/KL-BCH</w:t>
      </w:r>
    </w:p>
    <w:p w:rsidR="00000000" w:rsidDel="00000000" w:rsidP="00000000" w:rsidRDefault="00000000" w:rsidRPr="00000000" w14:paraId="00000024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2. Nội dung và phương thức hoạt động của CĐCS</w:t>
      </w:r>
    </w:p>
    <w:p w:rsidR="00000000" w:rsidDel="00000000" w:rsidP="00000000" w:rsidRDefault="00000000" w:rsidRPr="00000000" w14:paraId="00000025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  <w:rtl w:val="0"/>
        </w:rPr>
        <w:t xml:space="preserve">2.1. Kết quả đổi mới nội dung hoạt động của CĐCS</w:t>
      </w:r>
    </w:p>
    <w:p w:rsidR="00000000" w:rsidDel="00000000" w:rsidP="00000000" w:rsidRDefault="00000000" w:rsidRPr="00000000" w14:paraId="00000026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a) Nâng cao chất lượng thương lượng, ký kết và thực hiện có hiệu quả thoả ước lao động tập thể (nếu có)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b) Công tác phát triển đoàn viên, thành lập CĐCS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- Về tình hình thực hiện Chương trình phát triển đoàn viên (Về đoàn viên, công đoàn cơ sở)</w:t>
      </w:r>
    </w:p>
    <w:p w:rsidR="00000000" w:rsidDel="00000000" w:rsidP="00000000" w:rsidRDefault="00000000" w:rsidRPr="00000000" w14:paraId="00000029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- Về triển khai phát triển đoàn viên, thành lập CĐCS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- Về công tác quản lý đoàn viên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32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c) Công tác xây dựng tổ chức công đoàn cơ sở vững mạnh </w:t>
      </w:r>
    </w:p>
    <w:p w:rsidR="00000000" w:rsidDel="00000000" w:rsidP="00000000" w:rsidRDefault="00000000" w:rsidRPr="00000000" w14:paraId="0000002C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d) Đổi mới công tác đào tạo, bồi dưỡng cán bộ công đoàn </w:t>
      </w:r>
    </w:p>
    <w:p w:rsidR="00000000" w:rsidDel="00000000" w:rsidP="00000000" w:rsidRDefault="00000000" w:rsidRPr="00000000" w14:paraId="0000002D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  <w:rtl w:val="0"/>
        </w:rPr>
        <w:t xml:space="preserve">2.2. Kết quả đổi mới phương thức hoạt động của CĐCS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3. Công tác tài chính công đoàn</w:t>
      </w:r>
    </w:p>
    <w:p w:rsidR="00000000" w:rsidDel="00000000" w:rsidP="00000000" w:rsidRDefault="00000000" w:rsidRPr="00000000" w14:paraId="0000002F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  <w:rtl w:val="0"/>
        </w:rPr>
        <w:t xml:space="preserve">3.1. Về kết quả thực hiện công tác thu, chi, quản lý tài chính, tài sản của CĐCS</w:t>
      </w:r>
    </w:p>
    <w:p w:rsidR="00000000" w:rsidDel="00000000" w:rsidP="00000000" w:rsidRDefault="00000000" w:rsidRPr="00000000" w14:paraId="00000030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  <w:rtl w:val="0"/>
        </w:rPr>
        <w:t xml:space="preserve">3.2. Về phân cấp tài chính của công đoàn cấp trên </w:t>
      </w:r>
    </w:p>
    <w:p w:rsidR="00000000" w:rsidDel="00000000" w:rsidP="00000000" w:rsidRDefault="00000000" w:rsidRPr="00000000" w14:paraId="00000031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III. ĐÁNH GIÁ CHUNG</w:t>
      </w:r>
    </w:p>
    <w:p w:rsidR="00000000" w:rsidDel="00000000" w:rsidP="00000000" w:rsidRDefault="00000000" w:rsidRPr="00000000" w14:paraId="00000032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1. Những kết quả nổi bật đạt được</w:t>
      </w:r>
    </w:p>
    <w:p w:rsidR="00000000" w:rsidDel="00000000" w:rsidP="00000000" w:rsidRDefault="00000000" w:rsidRPr="00000000" w14:paraId="00000033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2. Những tồn tại, hạn chế và khó khăn, vướng mắc chủ yếu</w:t>
      </w:r>
    </w:p>
    <w:p w:rsidR="00000000" w:rsidDel="00000000" w:rsidP="00000000" w:rsidRDefault="00000000" w:rsidRPr="00000000" w14:paraId="00000034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3. Nguyên nhân của tồn tại, hạn chế</w:t>
      </w:r>
    </w:p>
    <w:p w:rsidR="00000000" w:rsidDel="00000000" w:rsidP="00000000" w:rsidRDefault="00000000" w:rsidRPr="00000000" w14:paraId="00000035">
      <w:pPr>
        <w:tabs>
          <w:tab w:val="center" w:leader="none" w:pos="1675"/>
          <w:tab w:val="center" w:leader="none" w:pos="6767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  <w:rtl w:val="0"/>
        </w:rPr>
        <w:t xml:space="preserve">3.1. Nguyên nhân chủ quan</w:t>
      </w:r>
    </w:p>
    <w:p w:rsidR="00000000" w:rsidDel="00000000" w:rsidP="00000000" w:rsidRDefault="00000000" w:rsidRPr="00000000" w14:paraId="00000036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highlight w:val="white"/>
          <w:rtl w:val="0"/>
        </w:rPr>
        <w:t xml:space="preserve">3.2. Nguyên nhân khách quan </w:t>
      </w:r>
    </w:p>
    <w:p w:rsidR="00000000" w:rsidDel="00000000" w:rsidP="00000000" w:rsidRDefault="00000000" w:rsidRPr="00000000" w14:paraId="00000037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4. Bài học kinh nghiệm</w:t>
      </w:r>
    </w:p>
    <w:p w:rsidR="00000000" w:rsidDel="00000000" w:rsidP="00000000" w:rsidRDefault="00000000" w:rsidRPr="00000000" w14:paraId="00000038">
      <w:pPr>
        <w:tabs>
          <w:tab w:val="center" w:leader="none" w:pos="0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Phần thứ hai</w:t>
      </w:r>
    </w:p>
    <w:p w:rsidR="00000000" w:rsidDel="00000000" w:rsidP="00000000" w:rsidRDefault="00000000" w:rsidRPr="00000000" w14:paraId="0000003A">
      <w:pPr>
        <w:tabs>
          <w:tab w:val="center" w:leader="none" w:pos="1675"/>
          <w:tab w:val="center" w:leader="none" w:pos="6767"/>
        </w:tabs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NHIỆM VỤ, GIẢI PHÁP CHỦ YẾU TIẾP TỤC THỰC HIỆN</w:t>
      </w:r>
    </w:p>
    <w:p w:rsidR="00000000" w:rsidDel="00000000" w:rsidP="00000000" w:rsidRDefault="00000000" w:rsidRPr="00000000" w14:paraId="0000003B">
      <w:pPr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NGHỊ QUYẾT 6a/NQ-TLĐ VÀ KẾT LUẬN 02/KL-BCH </w:t>
      </w:r>
    </w:p>
    <w:p w:rsidR="00000000" w:rsidDel="00000000" w:rsidP="00000000" w:rsidRDefault="00000000" w:rsidRPr="00000000" w14:paraId="0000003C">
      <w:pPr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TRONG GIAI ĐOẠN MỚI</w:t>
      </w:r>
    </w:p>
    <w:p w:rsidR="00000000" w:rsidDel="00000000" w:rsidP="00000000" w:rsidRDefault="00000000" w:rsidRPr="00000000" w14:paraId="0000003D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I. DỰ BÁO TÌNH HÌNH</w:t>
      </w:r>
    </w:p>
    <w:p w:rsidR="00000000" w:rsidDel="00000000" w:rsidP="00000000" w:rsidRDefault="00000000" w:rsidRPr="00000000" w14:paraId="0000003F">
      <w:pPr>
        <w:shd w:fill="ffffff" w:val="clear"/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II. QUAN ĐIỂM; MỤC TIÊU; NHIỆM VỤ, GIẢI PHÁP </w:t>
      </w:r>
    </w:p>
    <w:p w:rsidR="00000000" w:rsidDel="00000000" w:rsidP="00000000" w:rsidRDefault="00000000" w:rsidRPr="00000000" w14:paraId="00000040">
      <w:pPr>
        <w:shd w:fill="ffffff" w:val="clear"/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 Quan điểm</w:t>
      </w:r>
    </w:p>
    <w:p w:rsidR="00000000" w:rsidDel="00000000" w:rsidP="00000000" w:rsidRDefault="00000000" w:rsidRPr="00000000" w14:paraId="00000041">
      <w:pPr>
        <w:shd w:fill="ffffff" w:val="clear"/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 Mục tiêu</w:t>
      </w:r>
    </w:p>
    <w:p w:rsidR="00000000" w:rsidDel="00000000" w:rsidP="00000000" w:rsidRDefault="00000000" w:rsidRPr="00000000" w14:paraId="00000042">
      <w:pPr>
        <w:shd w:fill="ffffff" w:val="clear"/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Nhiệm vụ, giải pháp</w:t>
      </w:r>
    </w:p>
    <w:p w:rsidR="00000000" w:rsidDel="00000000" w:rsidP="00000000" w:rsidRDefault="00000000" w:rsidRPr="00000000" w14:paraId="00000043">
      <w:pPr>
        <w:tabs>
          <w:tab w:val="left" w:leader="none" w:pos="270"/>
          <w:tab w:val="left" w:leader="none" w:pos="720"/>
          <w:tab w:val="left" w:leader="none" w:pos="1440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II. TRÁCH NHIỆM</w:t>
      </w:r>
    </w:p>
    <w:p w:rsidR="00000000" w:rsidDel="00000000" w:rsidP="00000000" w:rsidRDefault="00000000" w:rsidRPr="00000000" w14:paraId="00000044">
      <w:pPr>
        <w:tabs>
          <w:tab w:val="center" w:leader="none" w:pos="1675"/>
          <w:tab w:val="center" w:leader="none" w:pos="6767"/>
        </w:tabs>
        <w:spacing w:after="80" w:line="320" w:lineRule="auto"/>
        <w:ind w:right="0"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1. Đối với Tổng Liên đoàn</w:t>
      </w:r>
    </w:p>
    <w:p w:rsidR="00000000" w:rsidDel="00000000" w:rsidP="00000000" w:rsidRDefault="00000000" w:rsidRPr="00000000" w14:paraId="00000045">
      <w:pPr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2. Đối với LĐLĐ tỉnh, thành phố, công đoàn ngành TW, công đoàn tập đoàn kinh tế, tổng công ty trực thuộc Tổng Liên đoàn</w:t>
      </w:r>
    </w:p>
    <w:p w:rsidR="00000000" w:rsidDel="00000000" w:rsidP="00000000" w:rsidRDefault="00000000" w:rsidRPr="00000000" w14:paraId="00000046">
      <w:pPr>
        <w:tabs>
          <w:tab w:val="center" w:leader="none" w:pos="1675"/>
          <w:tab w:val="center" w:leader="none" w:pos="6767"/>
        </w:tabs>
        <w:spacing w:after="80" w:line="3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3. Đối với công đoàn cấp cơ sở.</w:t>
      </w:r>
    </w:p>
    <w:p w:rsidR="00000000" w:rsidDel="00000000" w:rsidP="00000000" w:rsidRDefault="00000000" w:rsidRPr="00000000" w14:paraId="00000047">
      <w:pPr>
        <w:widowControl w:val="0"/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Phần thứ ba</w:t>
      </w:r>
    </w:p>
    <w:p w:rsidR="00000000" w:rsidDel="00000000" w:rsidP="00000000" w:rsidRDefault="00000000" w:rsidRPr="00000000" w14:paraId="00000048">
      <w:pPr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KIẾN NGHỊ, ĐỀ XUẤT</w:t>
      </w:r>
    </w:p>
    <w:p w:rsidR="00000000" w:rsidDel="00000000" w:rsidP="00000000" w:rsidRDefault="00000000" w:rsidRPr="00000000" w14:paraId="00000049">
      <w:pPr>
        <w:spacing w:after="8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line="32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ab/>
        <w:t xml:space="preserve">1. Đối với Đảng, Nhà nước</w:t>
      </w:r>
    </w:p>
    <w:p w:rsidR="00000000" w:rsidDel="00000000" w:rsidP="00000000" w:rsidRDefault="00000000" w:rsidRPr="00000000" w14:paraId="0000004B">
      <w:pPr>
        <w:spacing w:after="80" w:line="32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ab/>
        <w:t xml:space="preserve">2. Đối với Tổng Liên đoàn</w:t>
      </w:r>
    </w:p>
    <w:p w:rsidR="00000000" w:rsidDel="00000000" w:rsidP="00000000" w:rsidRDefault="00000000" w:rsidRPr="00000000" w14:paraId="0000004C">
      <w:pPr>
        <w:spacing w:after="80" w:line="32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ab/>
        <w:t xml:space="preserve">3. Đối với Công đoàn Giáo dục Việt Nam</w:t>
      </w:r>
    </w:p>
    <w:p w:rsidR="00000000" w:rsidDel="00000000" w:rsidP="00000000" w:rsidRDefault="00000000" w:rsidRPr="00000000" w14:paraId="0000004D">
      <w:pPr>
        <w:spacing w:before="120" w:line="264" w:lineRule="auto"/>
        <w:ind w:firstLine="720"/>
        <w:jc w:val="both"/>
        <w:rPr>
          <w:rFonts w:ascii="Times New Roman" w:cs="Times New Roman" w:eastAsia="Times New Roman" w:hAnsi="Times New Roman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7.0" w:type="dxa"/>
        <w:jc w:val="left"/>
        <w:tblLayout w:type="fixed"/>
        <w:tblLook w:val="0400"/>
      </w:tblPr>
      <w:tblGrid>
        <w:gridCol w:w="4536"/>
        <w:gridCol w:w="4111"/>
        <w:tblGridChange w:id="0">
          <w:tblGrid>
            <w:gridCol w:w="4536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center" w:leader="none" w:pos="6767"/>
              </w:tabs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Nơi nhận: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ab/>
              <w:t xml:space="preserve">           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TM. BAN CHẤP HÀNH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CHỦ TỊCH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center" w:leader="none" w:pos="6767"/>
        </w:tabs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leader="none" w:pos="6767"/>
        </w:tabs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center" w:leader="none" w:pos="6767"/>
        </w:tabs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center" w:leader="none" w:pos="6767"/>
        </w:tabs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center" w:leader="none" w:pos="6767"/>
        </w:tabs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center" w:leader="none" w:pos="6767"/>
        </w:tabs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   </w:t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40" w:w="11907" w:orient="portrait"/>
      <w:pgMar w:bottom="851" w:top="1134" w:left="1701" w:right="851" w:header="567" w:footer="45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